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14567" w:type="dxa"/>
        <w:jc w:val="left"/>
        <w:tblInd w:w="108" w:type="dxa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4855"/>
        <w:gridCol w:w="4856"/>
        <w:gridCol w:w="4856"/>
      </w:tblGrid>
      <w:tr>
        <w:trPr>
          <w:tblHeader w:val="true"/>
          <w:trHeight w:val="370" w:hRule="atLeast"/>
        </w:trPr>
        <w:tc>
          <w:tcPr>
            <w:tcW w:w="4855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6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63B2DE" w:val="clear"/>
          </w:tcPr>
          <w:p>
            <w:pPr>
              <w:pStyle w:val="Styledetableau3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Facteurs Positifs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63B2DE" w:val="clear"/>
          </w:tcPr>
          <w:p>
            <w:pPr>
              <w:pStyle w:val="Styledetableau3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Facteurs Négatifs</w:t>
            </w:r>
          </w:p>
        </w:tc>
      </w:tr>
      <w:tr>
        <w:trPr>
          <w:trHeight w:val="279" w:hRule="atLeast"/>
        </w:trPr>
        <w:tc>
          <w:tcPr>
            <w:tcW w:w="4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489BC9" w:val="clear"/>
            <w:vAlign w:val="center"/>
          </w:tcPr>
          <w:p>
            <w:pPr>
              <w:pStyle w:val="Styledetableau6"/>
              <w:jc w:val="center"/>
              <w:rPr>
                <w:rFonts w:ascii="Helvetica" w:hAnsi="Helvetica" w:cs="Arial Unicode MS"/>
                <w:b/>
                <w:b/>
                <w:bCs/>
                <w:color w:val="FEFEFE"/>
                <w:sz w:val="30"/>
                <w:szCs w:val="30"/>
              </w:rPr>
            </w:pPr>
            <w:r>
              <w:rPr>
                <w:rFonts w:cs="Arial Unicode MS"/>
                <w:b/>
                <w:bCs/>
                <w:color w:val="FEFEFE"/>
                <w:sz w:val="30"/>
                <w:szCs w:val="30"/>
              </w:rPr>
              <w:t>SWOT A5</w:t>
            </w: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jc w:val="center"/>
              <w:rPr/>
            </w:pPr>
            <w:r>
              <w:rPr>
                <w:b/>
                <w:bCs/>
              </w:rPr>
              <w:t>FORCES</w:t>
            </w:r>
          </w:p>
        </w:tc>
        <w:tc>
          <w:tcPr>
            <w:tcW w:w="48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jc w:val="center"/>
              <w:rPr/>
            </w:pPr>
            <w:r>
              <w:rPr>
                <w:b/>
                <w:bCs/>
              </w:rPr>
              <w:t>FAIBLESSES</w:t>
            </w:r>
          </w:p>
        </w:tc>
      </w:tr>
      <w:tr>
        <w:trPr>
          <w:trHeight w:val="2893" w:hRule="atLeast"/>
        </w:trPr>
        <w:tc>
          <w:tcPr>
            <w:tcW w:w="4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489BC9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6" w:type="dxa"/>
            <w:tcBorders>
              <w:top w:val="single" w:sz="2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rPr>
                <w:rFonts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</w:r>
          </w:p>
          <w:p>
            <w:pPr>
              <w:pStyle w:val="Styledetableau2"/>
              <w:numPr>
                <w:ilvl w:val="0"/>
                <w:numId w:val="1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 xml:space="preserve">Problématique E-TD et E-TP d’actualité techniquement  </w:t>
            </w:r>
            <w:r>
              <w:rPr>
                <w:rFonts w:eastAsia="Arial Unicode MS" w:cs="Arial Unicode MS"/>
                <w:color w:val="000000"/>
                <w:kern w:val="0"/>
                <w:sz w:val="24"/>
                <w:szCs w:val="20"/>
                <w:lang w:val="fr-FR" w:eastAsia="fr-FR" w:bidi="ar-SA"/>
              </w:rPr>
              <w:t>(projets, virtualisation)</w:t>
            </w:r>
          </w:p>
          <w:p>
            <w:pPr>
              <w:pStyle w:val="Styledetableau2"/>
              <w:numPr>
                <w:ilvl w:val="0"/>
                <w:numId w:val="1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>La solution Glowbl permet questionnement sur les modalités pédagogiques collaboratives en synchrone et asynchrone</w:t>
            </w:r>
          </w:p>
          <w:p>
            <w:pPr>
              <w:pStyle w:val="Styledetableau2"/>
              <w:numPr>
                <w:ilvl w:val="0"/>
                <w:numId w:val="1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>Partenariat avec start-up qui cherche à développer l’axe pédagogique (entre autres)</w:t>
            </w:r>
            <w:r>
              <w:rPr>
                <w:rFonts w:cs="Arial Unicode MS"/>
                <w:color w:val="000000"/>
              </w:rPr>
              <w:t xml:space="preserve"> </w:t>
            </w:r>
          </w:p>
          <w:p>
            <w:pPr>
              <w:pStyle w:val="Styledetableau2"/>
              <w:numPr>
                <w:ilvl w:val="0"/>
                <w:numId w:val="0"/>
              </w:numPr>
              <w:ind w:left="164" w:hanging="0"/>
              <w:rPr>
                <w:rFonts w:ascii="Helvetica" w:hAnsi="Helvetica" w:cs="Arial Unicode MS"/>
                <w:color w:val="000000"/>
              </w:rPr>
            </w:pPr>
            <w:r>
              <w:rPr/>
            </w:r>
          </w:p>
          <w:p>
            <w:pPr>
              <w:pStyle w:val="Styledetableau2"/>
              <w:numPr>
                <w:ilvl w:val="0"/>
                <w:numId w:val="0"/>
              </w:numPr>
              <w:ind w:left="164" w:hanging="0"/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</w:r>
          </w:p>
          <w:p>
            <w:pPr>
              <w:pStyle w:val="Styledetableau2"/>
              <w:numPr>
                <w:ilvl w:val="0"/>
                <w:numId w:val="0"/>
              </w:numPr>
              <w:ind w:left="164" w:hanging="0"/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rPr/>
            </w:pPr>
            <w:r>
              <w:rPr/>
            </w:r>
          </w:p>
          <w:p>
            <w:pPr>
              <w:pStyle w:val="Styledetableau2"/>
              <w:numPr>
                <w:ilvl w:val="0"/>
                <w:numId w:val="2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 xml:space="preserve">Glowbl arrive en dernier par rapport à d’autres </w:t>
            </w:r>
            <w:r>
              <w:rPr>
                <w:rFonts w:eastAsia="Arial Unicode MS" w:cs="Arial Unicode MS"/>
                <w:color w:val="000000"/>
                <w:kern w:val="0"/>
                <w:sz w:val="24"/>
                <w:szCs w:val="20"/>
                <w:lang w:val="fr-FR" w:eastAsia="fr-FR" w:bidi="ar-SA"/>
              </w:rPr>
              <w:t>solutions/habitudes</w:t>
            </w:r>
            <w:r>
              <w:rPr>
                <w:rFonts w:cs="Arial Unicode MS"/>
                <w:color w:val="000000"/>
              </w:rPr>
              <w:t xml:space="preserve"> mises en place de facto (zoom, discord…)</w:t>
            </w:r>
          </w:p>
          <w:p>
            <w:pPr>
              <w:pStyle w:val="Styledetableau2"/>
              <w:numPr>
                <w:ilvl w:val="0"/>
                <w:numId w:val="2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 xml:space="preserve">Outil en phase de développement </w:t>
            </w:r>
            <w:r>
              <w:rPr>
                <w:rFonts w:eastAsia="Arial Unicode MS" w:cs="Arial Unicode MS"/>
                <w:color w:val="000000"/>
                <w:kern w:val="0"/>
                <w:sz w:val="24"/>
                <w:szCs w:val="20"/>
                <w:lang w:val="fr-FR" w:eastAsia="fr-FR" w:bidi="ar-SA"/>
              </w:rPr>
              <w:t>(</w:t>
            </w:r>
            <w:r>
              <w:rPr>
                <w:rFonts w:cs="Arial Unicode MS"/>
                <w:color w:val="000000"/>
              </w:rPr>
              <w:t>liaisons entre Glowbl et Moodle, compatibilité navigateurs…)</w:t>
            </w:r>
          </w:p>
          <w:p>
            <w:pPr>
              <w:pStyle w:val="Styledetableau2"/>
              <w:numPr>
                <w:ilvl w:val="0"/>
                <w:numId w:val="2"/>
              </w:numPr>
              <w:rPr>
                <w:rFonts w:ascii="Helvetica" w:hAnsi="Helvetica" w:cs="Arial Unicode MS"/>
                <w:color w:val="000000"/>
              </w:rPr>
            </w:pPr>
            <w:r>
              <w:rPr/>
            </w:r>
          </w:p>
          <w:p>
            <w:pPr>
              <w:pStyle w:val="Styledetableau2"/>
              <w:numPr>
                <w:ilvl w:val="0"/>
                <w:numId w:val="0"/>
              </w:numPr>
              <w:ind w:left="164" w:hanging="0"/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</w:r>
          </w:p>
        </w:tc>
      </w:tr>
      <w:tr>
        <w:trPr>
          <w:trHeight w:val="279" w:hRule="atLeast"/>
        </w:trPr>
        <w:tc>
          <w:tcPr>
            <w:tcW w:w="4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489BC9" w:val="clear"/>
            <w:vAlign w:val="center"/>
          </w:tcPr>
          <w:p>
            <w:pPr>
              <w:pStyle w:val="Styledetableau6"/>
              <w:jc w:val="center"/>
              <w:rPr>
                <w:rFonts w:ascii="Helvetica" w:hAnsi="Helvetica" w:eastAsia="Arial Unicode MS" w:cs="Arial Unicode MS"/>
                <w:b/>
                <w:b/>
                <w:bCs/>
                <w:color w:val="FEFEFE"/>
                <w:kern w:val="0"/>
                <w:sz w:val="30"/>
                <w:szCs w:val="30"/>
                <w:lang w:val="fr-FR" w:eastAsia="fr-FR" w:bidi="ar-SA"/>
              </w:rPr>
            </w:pPr>
            <w:r>
              <w:rPr>
                <w:rFonts w:eastAsia="Arial Unicode MS" w:cs="Arial Unicode MS"/>
                <w:b/>
                <w:bCs/>
                <w:color w:val="FEFEFE"/>
                <w:kern w:val="0"/>
                <w:sz w:val="30"/>
                <w:szCs w:val="30"/>
                <w:lang w:val="fr-FR" w:eastAsia="fr-FR" w:bidi="ar-SA"/>
              </w:rPr>
              <w:t>Cube immersif</w:t>
            </w:r>
          </w:p>
        </w:tc>
        <w:tc>
          <w:tcPr>
            <w:tcW w:w="4856" w:type="dxa"/>
            <w:tcBorders>
              <w:top w:val="single" w:sz="8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jc w:val="center"/>
              <w:rPr/>
            </w:pPr>
            <w:r>
              <w:rPr>
                <w:b/>
                <w:bCs/>
              </w:rPr>
              <w:t>OPPORTUNITÉS</w:t>
            </w:r>
          </w:p>
        </w:tc>
        <w:tc>
          <w:tcPr>
            <w:tcW w:w="48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jc w:val="center"/>
              <w:rPr/>
            </w:pPr>
            <w:r>
              <w:rPr>
                <w:b/>
                <w:bCs/>
              </w:rPr>
              <w:t>MENACES  et PISTES SOLUTION</w:t>
            </w:r>
          </w:p>
        </w:tc>
      </w:tr>
      <w:tr>
        <w:trPr>
          <w:trHeight w:val="2645" w:hRule="atLeast"/>
        </w:trPr>
        <w:tc>
          <w:tcPr>
            <w:tcW w:w="48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489BC9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5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</w:r>
          </w:p>
          <w:p>
            <w:pPr>
              <w:pStyle w:val="Styledetableau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cs="Arial Unicode MS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Expérimenter et évaluer des modalités pédagogiques </w:t>
            </w:r>
            <w:r>
              <w:rPr>
                <w:rFonts w:eastAsia="Arial Unicode MS" w:cs="Arial Unicode MS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effect w:val="none"/>
                <w:lang w:val="fr-FR" w:eastAsia="fr-FR" w:bidi="ar-SA"/>
              </w:rPr>
              <w:t>et collaboratives à l’échelle du groupe</w:t>
            </w:r>
          </w:p>
          <w:p>
            <w:pPr>
              <w:pStyle w:val="Styledetableau2"/>
              <w:numPr>
                <w:ilvl w:val="0"/>
                <w:numId w:val="3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eastAsia="Arial Unicode MS" w:cs="Arial Unicode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effect w:val="none"/>
                <w:lang w:val="fr-FR" w:eastAsia="fr-FR" w:bidi="ar-SA"/>
              </w:rPr>
              <w:t>Possibilités d’adaptation de l’outil à des contraintes de cas d’usages</w:t>
            </w:r>
          </w:p>
          <w:p>
            <w:pPr>
              <w:pStyle w:val="Styledetableau2"/>
              <w:numPr>
                <w:ilvl w:val="0"/>
                <w:numId w:val="3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eastAsia="Arial Unicode MS" w:cs="Arial Unicode M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effect w:val="none"/>
                <w:lang w:val="fr-FR" w:eastAsia="fr-FR" w:bidi="ar-SA"/>
              </w:rPr>
              <w:t>Proposer outil et modèles de cas d’usage d’’E-TD et E-TP à l’échelle du groupe</w:t>
            </w:r>
          </w:p>
          <w:p>
            <w:pPr>
              <w:pStyle w:val="Styledetableau2"/>
              <w:rPr>
                <w:rFonts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</w:r>
          </w:p>
          <w:p>
            <w:pPr>
              <w:pStyle w:val="Styledetableau2"/>
              <w:numPr>
                <w:ilvl w:val="0"/>
                <w:numId w:val="0"/>
              </w:numPr>
              <w:ind w:left="164" w:hanging="0"/>
              <w:rPr/>
            </w:pPr>
            <w:r>
              <w:rPr/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detableau2"/>
              <w:rPr/>
            </w:pPr>
            <w:r>
              <w:rPr/>
            </w:r>
          </w:p>
          <w:p>
            <w:pPr>
              <w:pStyle w:val="Styledetableau2"/>
              <w:numPr>
                <w:ilvl w:val="0"/>
                <w:numId w:val="4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>Recrutement d’enseignants dans chaque établissement =&gt; communication, formation, documentation et accompagnement</w:t>
            </w:r>
          </w:p>
          <w:p>
            <w:pPr>
              <w:pStyle w:val="Styledetableau2"/>
              <w:numPr>
                <w:ilvl w:val="0"/>
                <w:numId w:val="4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>Suivi expérimentation côté Glowbl en accord avec termes partenariat =&gt; après mise en place méthodologie, consacrer temps suffisant à faire vivre les clauses</w:t>
            </w:r>
          </w:p>
          <w:p>
            <w:pPr>
              <w:pStyle w:val="Styledetableau2"/>
              <w:numPr>
                <w:ilvl w:val="0"/>
                <w:numId w:val="4"/>
              </w:numPr>
              <w:rPr>
                <w:rFonts w:ascii="Helvetica" w:hAnsi="Helvetica" w:cs="Arial Unicode MS"/>
                <w:color w:val="000000"/>
              </w:rPr>
            </w:pPr>
            <w:r>
              <w:rPr>
                <w:rFonts w:cs="Arial Unicode MS"/>
                <w:color w:val="000000"/>
              </w:rPr>
              <w:t>Elargissement et pérennité projet =&gt; validation puis préconisation des directions, formalisation des données projet pour réappropriation</w:t>
            </w:r>
          </w:p>
        </w:tc>
      </w:tr>
    </w:tbl>
    <w:p>
      <w:pPr>
        <w:pStyle w:val="Corps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64" w:hanging="16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44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4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04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8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64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44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4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04" w:hanging="164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64" w:hanging="16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44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4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04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8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64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44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4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04" w:hanging="16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64" w:hanging="16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44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4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04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8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64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44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4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04" w:hanging="164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64" w:hanging="16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44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24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04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8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64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44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4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04" w:hanging="164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rps" w:customStyle="1">
    <w:name w:val="Corps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fr-FR" w:eastAsia="fr-FR" w:bidi="ar-SA"/>
    </w:rPr>
  </w:style>
  <w:style w:type="paragraph" w:styleId="Styledetableau3" w:customStyle="1">
    <w:name w:val="Style de tableau 3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FEFFFE"/>
      <w:kern w:val="0"/>
      <w:sz w:val="24"/>
      <w:szCs w:val="20"/>
      <w:lang w:val="fr-FR" w:eastAsia="fr-FR" w:bidi="ar-SA"/>
    </w:rPr>
  </w:style>
  <w:style w:type="paragraph" w:styleId="Styledetableau6" w:customStyle="1">
    <w:name w:val="Style de tableau 6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357CA2"/>
      <w:kern w:val="0"/>
      <w:sz w:val="24"/>
      <w:szCs w:val="20"/>
      <w:lang w:val="fr-FR" w:eastAsia="fr-FR" w:bidi="ar-SA"/>
    </w:rPr>
  </w:style>
  <w:style w:type="paragraph" w:styleId="Styledetableau2" w:customStyle="1">
    <w:name w:val="Style de tableau 2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0"/>
      <w:lang w:val="fr-FR" w:eastAsia="fr-FR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er" Target="footer1.xml"/><Relationship Id="rId7" Type="http://schemas.openxmlformats.org/officeDocument/2006/relationships/theme" Target="theme/theme1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5B842966F4EA0DE93DB15F3D4F0" ma:contentTypeVersion="17" ma:contentTypeDescription="Crée un document." ma:contentTypeScope="" ma:versionID="05826ef3da798606d81c758c1592ff4c">
  <xsd:schema xmlns:xsd="http://www.w3.org/2001/XMLSchema" xmlns:xs="http://www.w3.org/2001/XMLSchema" xmlns:p="http://schemas.microsoft.com/office/2006/metadata/properties" xmlns:ns2="e36bff54-8b52-41a3-b656-787d5d5ff718" xmlns:ns3="85b455be-3c06-4a6a-82f8-3579cfe879f9" targetNamespace="http://schemas.microsoft.com/office/2006/metadata/properties" ma:root="true" ma:fieldsID="dd5320599b521cc89e0103e361544b1d" ns2:_="" ns3:_="">
    <xsd:import namespace="e36bff54-8b52-41a3-b656-787d5d5ff718"/>
    <xsd:import namespace="85b455be-3c06-4a6a-82f8-3579cfe87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ff54-8b52-41a3-b656-787d5d5ff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589d98ed-d87d-4b5f-8cfd-2c453ac98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455be-3c06-4a6a-82f8-3579cfe879f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bff54-8b52-41a3-b656-787d5d5ff7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7B5E9-C687-40C6-92C9-F42AE811A7C8}"/>
</file>

<file path=customXml/itemProps2.xml><?xml version="1.0" encoding="utf-8"?>
<ds:datastoreItem xmlns:ds="http://schemas.openxmlformats.org/officeDocument/2006/customXml" ds:itemID="{F7DA3FE2-9515-4DB9-BDAC-28A6922B47EB}"/>
</file>

<file path=customXml/itemProps3.xml><?xml version="1.0" encoding="utf-8"?>
<ds:datastoreItem xmlns:ds="http://schemas.openxmlformats.org/officeDocument/2006/customXml" ds:itemID="{92F7B195-C21A-4198-BA16-DC9E7BB07F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LibreOffice/6.4.7.2$Linux_X86_64 LibreOffice_project/40$Build-2</Application>
  <Pages>1</Pages>
  <Words>175</Words>
  <Characters>1095</Characters>
  <CharactersWithSpaces>1241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Hamid Le Fleurier</cp:lastModifiedBy>
  <cp:revision>12</cp:revision>
  <dcterms:created xsi:type="dcterms:W3CDTF">2018-05-29T09:24:00Z</dcterms:created>
  <dcterms:modified xsi:type="dcterms:W3CDTF">2022-10-03T14:15:04Z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0x010100692275B842966F4EA0DE93DB15F3D4F0</vt:lpwstr>
  </property>
</Properties>
</file>